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A4" w:rsidRDefault="00EA7FA4" w:rsidP="00EA7FA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ПОЛОЖЕНИЕ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о городском конкурсе </w:t>
      </w:r>
      <w:r>
        <w:rPr>
          <w:rFonts w:ascii="PT Astra Serif" w:hAnsi="PT Astra Serif"/>
          <w:sz w:val="28"/>
          <w:szCs w:val="28"/>
        </w:rPr>
        <w:t>профессионального мастерства педагогов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«Мой лучший урок: урок формирования функциональной грамотности»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>
        <w:rPr>
          <w:rFonts w:ascii="PT Astra Serif" w:hAnsi="PT Astra Serif"/>
          <w:b/>
          <w:sz w:val="28"/>
          <w:szCs w:val="28"/>
        </w:rPr>
        <w:t>. ОБЩИЕ ПОЛОЖЕНИЯ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>
        <w:rPr>
          <w:rFonts w:ascii="Times New Roman" w:hAnsi="Times New Roman"/>
          <w:sz w:val="28"/>
          <w:szCs w:val="28"/>
        </w:rPr>
        <w:t>профессионального мастерства педагогов «Мой лучший урок: урок формирования функциональной грамотности»  (далее – конкурс).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>
        <w:rPr>
          <w:rFonts w:ascii="Times New Roman" w:hAnsi="Times New Roman"/>
          <w:sz w:val="28"/>
          <w:szCs w:val="28"/>
        </w:rPr>
        <w:t>инновационно-методический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 конкурсе могут принять участие педагоги муниципальных образовательных организаций города Кургана.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</w:t>
      </w:r>
      <w:r>
        <w:rPr>
          <w:rFonts w:ascii="Times New Roman" w:hAnsi="Times New Roman"/>
          <w:sz w:val="28"/>
          <w:szCs w:val="28"/>
        </w:rPr>
        <w:t xml:space="preserve">онкурс проводится по номинациям: 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Мое лучшее занятие (дошкольные образовательные организации);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Мое лучшее занятие (организации дополнительного образования)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лучший урок (общеобразовательные организации).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номинации с количеством работ меньше пяти конкурс считается несостоявшимся. Участники по согласованию с организаторами могут быть переведены в другую номинацию.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61D" w:rsidRDefault="00EA7FA4" w:rsidP="0067261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оценки конкурсных материалов организатором создается жюри, в состав которого  могут входить специалисты муниципального бюджетного учреждения города Кургана «Курганский городской </w:t>
      </w:r>
      <w:proofErr w:type="spellStart"/>
      <w:r>
        <w:rPr>
          <w:rFonts w:ascii="Times New Roman" w:hAnsi="Times New Roman"/>
          <w:sz w:val="28"/>
          <w:szCs w:val="28"/>
        </w:rPr>
        <w:t>инновационно-методический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 представители  образовательных организаций города и других субъектов образовательной политики (по согласованию).</w:t>
      </w:r>
      <w:r w:rsidR="0067261D" w:rsidRPr="0067261D">
        <w:rPr>
          <w:rFonts w:ascii="Times New Roman" w:hAnsi="Times New Roman"/>
          <w:sz w:val="28"/>
          <w:szCs w:val="28"/>
        </w:rPr>
        <w:t xml:space="preserve"> </w:t>
      </w:r>
      <w:r w:rsidR="0067261D">
        <w:rPr>
          <w:rFonts w:ascii="Times New Roman" w:hAnsi="Times New Roman"/>
          <w:sz w:val="28"/>
          <w:szCs w:val="28"/>
        </w:rPr>
        <w:t>Жюри конкурса несет ответственность за обеспечение объективности оценки работ.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Ответственность за соблюдение закона об  авторских правах   в </w:t>
      </w:r>
      <w:r>
        <w:rPr>
          <w:rFonts w:ascii="Times New Roman" w:hAnsi="Times New Roman"/>
          <w:spacing w:val="-1"/>
          <w:sz w:val="28"/>
          <w:szCs w:val="28"/>
        </w:rPr>
        <w:t xml:space="preserve">отношении 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участников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A7FA4" w:rsidRDefault="00EA7FA4" w:rsidP="00EA7FA4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Основной целью конкурса является </w:t>
      </w:r>
      <w:r>
        <w:rPr>
          <w:rFonts w:ascii="Times New Roman" w:eastAsia="Times New Roman" w:hAnsi="Times New Roman"/>
          <w:sz w:val="28"/>
          <w:szCs w:val="28"/>
        </w:rPr>
        <w:t>актуализация проблемы</w:t>
      </w:r>
      <w:r>
        <w:rPr>
          <w:rFonts w:ascii="Times New Roman" w:hAnsi="Times New Roman"/>
          <w:sz w:val="28"/>
          <w:szCs w:val="28"/>
        </w:rPr>
        <w:t xml:space="preserve"> формирования и развития функциональной грамотности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учебной деятельности.</w:t>
      </w:r>
    </w:p>
    <w:p w:rsidR="00EA7FA4" w:rsidRDefault="00EA7FA4" w:rsidP="00EA7FA4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EA7FA4" w:rsidRDefault="00EA7FA4" w:rsidP="00EA7FA4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стимулирование активности педагогов в формировании и развитии функциональной грамотности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FA4" w:rsidRDefault="00EA7FA4" w:rsidP="00EA7FA4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выявление и распространение эффективных педагогических практик формирования и развития функциональной грамотности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FA4" w:rsidRDefault="00EA7FA4" w:rsidP="00EA7FA4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банка методических разработок уроков (занятий),  </w:t>
      </w:r>
      <w:r>
        <w:rPr>
          <w:rFonts w:ascii="Times New Roman" w:hAnsi="Times New Roman" w:cs="Times New Roman"/>
          <w:bCs/>
          <w:sz w:val="28"/>
          <w:szCs w:val="28"/>
        </w:rPr>
        <w:t>направленных на формирование и развитие функциональной грамотности обучающихся.</w:t>
      </w: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ПОРЯДОК ПРОВЕДЕНИЯ КОНКУРСА</w:t>
      </w: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Конкурс проводится с 1 октября 2021 года по 24 марта 2022 года в два этапа: институциональный  и муниципальный. 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Институциональный этап проводится с 1 октября 2021 года по 28 января 2022 года. 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в каждой номинации институционального этапа участвует в муниципальном этапе, который проводится с 14 февраля  по 24 марта 2022 года.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Заявки от образовательных учреждений на участие в муниципальном этапе и конкурсные материалы принимаются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14 по 25 февраля 2022 года </w:t>
      </w:r>
      <w:r>
        <w:rPr>
          <w:rFonts w:ascii="Times New Roman" w:eastAsia="Times New Roman" w:hAnsi="Times New Roman"/>
          <w:sz w:val="28"/>
          <w:szCs w:val="28"/>
        </w:rPr>
        <w:t xml:space="preserve">в электронном виде по адресу: </w:t>
      </w:r>
      <w:hyperlink r:id="rId4" w:history="1">
        <w:r>
          <w:rPr>
            <w:rStyle w:val="ad"/>
            <w:sz w:val="28"/>
            <w:szCs w:val="28"/>
            <w:lang w:val="en-US"/>
          </w:rPr>
          <w:t>imc</w:t>
        </w:r>
        <w:r>
          <w:rPr>
            <w:rStyle w:val="ad"/>
            <w:sz w:val="28"/>
            <w:szCs w:val="28"/>
          </w:rPr>
          <w:t>45@</w:t>
        </w:r>
        <w:r>
          <w:rPr>
            <w:rStyle w:val="ad"/>
            <w:sz w:val="28"/>
            <w:szCs w:val="28"/>
            <w:lang w:val="en-US"/>
          </w:rPr>
          <w:t>mail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с пометкой «Конкурс МЛУ»</w:t>
      </w:r>
      <w:r>
        <w:rPr>
          <w:rFonts w:ascii="Times New Roman" w:hAnsi="Times New Roman"/>
          <w:sz w:val="28"/>
          <w:szCs w:val="28"/>
        </w:rPr>
        <w:t xml:space="preserve"> по форме, определенной организатором.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 ходе муниципального </w:t>
      </w:r>
      <w:r>
        <w:rPr>
          <w:rFonts w:ascii="Times New Roman" w:hAnsi="Times New Roman"/>
          <w:color w:val="000000"/>
          <w:sz w:val="28"/>
          <w:szCs w:val="28"/>
        </w:rPr>
        <w:t>этапа с 01 по 11 марта 2022 года проводится экспертиза конкурсных материалов.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Подведение итогов конкурса состо</w:t>
      </w:r>
      <w:r>
        <w:rPr>
          <w:rFonts w:ascii="Times New Roman" w:hAnsi="Times New Roman"/>
          <w:color w:val="000000"/>
          <w:sz w:val="28"/>
          <w:szCs w:val="28"/>
        </w:rPr>
        <w:t>ится 24 марта 2022 года.</w:t>
      </w: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IV</w:t>
      </w:r>
      <w:r>
        <w:rPr>
          <w:rFonts w:ascii="PT Astra Serif" w:hAnsi="PT Astra Serif"/>
          <w:b/>
          <w:bCs/>
          <w:sz w:val="28"/>
          <w:szCs w:val="28"/>
        </w:rPr>
        <w:t>. ТРЕБОВАНИЯ К КОНКУРСНЫМ МАТЕРИАЛАМ</w:t>
      </w: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конкурс образовательными организациями представляются следующие материалы: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на участие;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пояснительная записка (1-2 страницы);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сценарий урока (занятия) и технологическая карта (не более 6 страниц)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приложения (при необходимости, не более 4 страниц);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фото с урока (занятия);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рецензия.</w:t>
      </w:r>
    </w:p>
    <w:p w:rsidR="00EA7FA4" w:rsidRDefault="00EA7FA4" w:rsidP="00EA7FA4">
      <w:pPr>
        <w:pStyle w:val="aa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текстах не допускаются сокращения названий и наименований. Описательная часть представляется  на конкурс в текстовом файле в формате</w:t>
      </w:r>
      <w:r>
        <w:rPr>
          <w:rFonts w:ascii="Times New Roman" w:hAnsi="Times New Roman"/>
          <w:spacing w:val="-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PDF.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файлы называются согласно п.13 и помещаются в папку, названную номером ОУ/ДОУ с указанием фамилии участника. Папка архивируется.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mb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Фотоматериалы и рисунки сжимаются в объеме. Музыкальные вставки, фильмы не предоставляются.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Рецензии на материалы участникам конкурса не выдаются.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В  пояснительной записке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указывается предмет (направление развития), количество часов в неделю,  краткая характеристика класса (группы), программа, используемая в работе, её авторы,  учебник, его раздел,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тип урока (по ФГОС), тема урока,  место урока (занятия, мероприятия)  в изучаемой теме, используемая литература  и интернет-ресурсы, обосновывается выбор образовательных стратегий урока (занятия) с учетом формирования функциональной грамотности. </w:t>
      </w:r>
      <w:proofErr w:type="gramEnd"/>
    </w:p>
    <w:p w:rsidR="00EA7FA4" w:rsidRDefault="00EA7FA4" w:rsidP="00EA7FA4">
      <w:pPr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сценарии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описываются цели и задачи, все этапы урока (занятия) с указанием времени на каждый этап, вид деятельности; работа педагога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методики, технологии, применяемые на уроке (занятии), оборудование и оснащение. Кратко анализируется работа детей и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A4" w:rsidRDefault="00EA7FA4" w:rsidP="00EA7FA4">
      <w:pPr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"/>
          <w:sz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1"/>
        <w:gridCol w:w="2031"/>
        <w:gridCol w:w="1843"/>
        <w:gridCol w:w="2267"/>
        <w:gridCol w:w="1841"/>
      </w:tblGrid>
      <w:tr w:rsidR="00EA7FA4" w:rsidTr="00EA7FA4">
        <w:trPr>
          <w:trHeight w:val="2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78" w:lineRule="exact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7FA4" w:rsidTr="00EA7FA4">
        <w:trPr>
          <w:trHeight w:val="29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80" w:lineRule="exact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7FA4" w:rsidTr="00EA7FA4">
        <w:trPr>
          <w:trHeight w:val="2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78" w:lineRule="exact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7FA4" w:rsidTr="00EA7FA4">
        <w:trPr>
          <w:trHeight w:val="89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tabs>
                <w:tab w:val="left" w:pos="2012"/>
              </w:tabs>
              <w:ind w:left="106" w:right="6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Ключевые</w:t>
            </w:r>
            <w:proofErr w:type="spellEnd"/>
            <w:r>
              <w:rPr>
                <w:spacing w:val="-62"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смыслы</w:t>
            </w:r>
            <w:proofErr w:type="spellEnd"/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7FA4" w:rsidTr="00EA7FA4">
        <w:trPr>
          <w:trHeight w:val="119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96" w:lineRule="exact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ind w:left="108" w:right="-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делают</w:t>
            </w:r>
            <w:proofErr w:type="spellEnd"/>
            <w:r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2"/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учающиеся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tabs>
                <w:tab w:val="left" w:pos="1727"/>
              </w:tabs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делает</w:t>
            </w:r>
            <w:proofErr w:type="spellEnd"/>
            <w:r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Pr="00EA7FA4" w:rsidRDefault="00EA7FA4">
            <w:pPr>
              <w:pStyle w:val="TableParagraph"/>
              <w:tabs>
                <w:tab w:val="left" w:pos="2267"/>
              </w:tabs>
              <w:ind w:left="26"/>
              <w:rPr>
                <w:sz w:val="28"/>
                <w:szCs w:val="28"/>
                <w:lang w:val="ru-RU"/>
              </w:rPr>
            </w:pPr>
            <w:r w:rsidRPr="00EA7FA4">
              <w:rPr>
                <w:sz w:val="28"/>
                <w:szCs w:val="28"/>
                <w:lang w:val="ru-RU"/>
              </w:rPr>
              <w:t>Как и какой  формируется</w:t>
            </w:r>
            <w:r w:rsidRPr="00EA7FA4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EA7FA4">
              <w:rPr>
                <w:sz w:val="28"/>
                <w:szCs w:val="28"/>
                <w:lang w:val="ru-RU"/>
              </w:rPr>
              <w:t>компонент</w:t>
            </w:r>
          </w:p>
          <w:p w:rsidR="00EA7FA4" w:rsidRPr="00EA7FA4" w:rsidRDefault="00EA7FA4">
            <w:pPr>
              <w:pStyle w:val="TableParagraph"/>
              <w:tabs>
                <w:tab w:val="left" w:pos="2267"/>
              </w:tabs>
              <w:spacing w:line="300" w:lineRule="atLeast"/>
              <w:ind w:left="108"/>
              <w:rPr>
                <w:sz w:val="28"/>
                <w:szCs w:val="28"/>
                <w:lang w:val="ru-RU"/>
              </w:rPr>
            </w:pPr>
            <w:r w:rsidRPr="00EA7FA4">
              <w:rPr>
                <w:spacing w:val="-1"/>
                <w:sz w:val="28"/>
                <w:szCs w:val="28"/>
                <w:lang w:val="ru-RU"/>
              </w:rPr>
              <w:t>функциональной</w:t>
            </w:r>
            <w:r w:rsidRPr="00EA7FA4">
              <w:rPr>
                <w:spacing w:val="-62"/>
                <w:sz w:val="28"/>
                <w:szCs w:val="28"/>
                <w:lang w:val="ru-RU"/>
              </w:rPr>
              <w:t xml:space="preserve">  </w:t>
            </w:r>
            <w:r w:rsidRPr="00EA7FA4">
              <w:rPr>
                <w:sz w:val="28"/>
                <w:szCs w:val="28"/>
                <w:lang w:val="ru-RU"/>
              </w:rPr>
              <w:t>грамотности?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ind w:left="108" w:right="-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A7FA4" w:rsidRDefault="00EA7FA4">
            <w:pPr>
              <w:pStyle w:val="TableParagraph"/>
              <w:spacing w:line="300" w:lineRule="atLeast"/>
              <w:ind w:left="108" w:right="-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необходимое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оборудование</w:t>
            </w:r>
            <w:proofErr w:type="spellEnd"/>
          </w:p>
        </w:tc>
      </w:tr>
      <w:tr w:rsidR="00EA7FA4" w:rsidTr="00EA7FA4">
        <w:trPr>
          <w:trHeight w:val="29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</w:tr>
      <w:tr w:rsidR="00EA7FA4" w:rsidTr="00EA7FA4">
        <w:trPr>
          <w:trHeight w:val="2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</w:tr>
      <w:tr w:rsidR="00EA7FA4" w:rsidTr="00EA7FA4">
        <w:trPr>
          <w:trHeight w:val="2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</w:tr>
      <w:tr w:rsidR="00EA7FA4" w:rsidTr="00EA7FA4">
        <w:trPr>
          <w:trHeight w:val="29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</w:tr>
      <w:tr w:rsidR="00EA7FA4" w:rsidTr="00EA7FA4">
        <w:trPr>
          <w:trHeight w:val="2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A4" w:rsidRDefault="00EA7FA4">
            <w:pPr>
              <w:pStyle w:val="TableParagraph"/>
            </w:pPr>
          </w:p>
        </w:tc>
      </w:tr>
      <w:tr w:rsidR="00EA7FA4" w:rsidTr="00EA7FA4">
        <w:trPr>
          <w:trHeight w:val="598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A4" w:rsidRDefault="00EA7FA4">
            <w:pPr>
              <w:pStyle w:val="TableParagraph"/>
              <w:spacing w:line="297" w:lineRule="exact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Планируемый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A7FA4" w:rsidRDefault="00EA7FA4" w:rsidP="00EA7FA4">
      <w:pPr>
        <w:tabs>
          <w:tab w:val="left" w:pos="968"/>
        </w:tabs>
        <w:spacing w:line="240" w:lineRule="auto"/>
        <w:ind w:right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приложениях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 любые материалы,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демонстрирующие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работы критериям конкурсного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используемых приемов и методов;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 используемых технологий;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материалы по методическому обеспечению педагогических технологий;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описание организации деятельности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презентация, выполненная в MS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методики оценки эффективности уроков (занятий).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>В рецензии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анализируется урок (занятие), его результативность, целесообразность применения методов, приемов, </w:t>
      </w:r>
      <w:r>
        <w:rPr>
          <w:rFonts w:ascii="Times New Roman" w:eastAsia="Times New Roman" w:hAnsi="Times New Roman"/>
          <w:sz w:val="28"/>
          <w:szCs w:val="28"/>
        </w:rPr>
        <w:t xml:space="preserve">форм работы по </w:t>
      </w:r>
      <w:r>
        <w:rPr>
          <w:rFonts w:ascii="Times New Roman" w:hAnsi="Times New Roman"/>
          <w:sz w:val="28"/>
          <w:szCs w:val="28"/>
        </w:rPr>
        <w:t>формированию функциональной грамотности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7FA4" w:rsidRDefault="00EA7FA4" w:rsidP="00EA7FA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15. Материалы конкурса могут использоваться организаторами со ссылкой на автора-разработчика. Представление материалов является согласием участника с условиями конкурса.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Все представленные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проверяются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плагиат.</w:t>
      </w:r>
    </w:p>
    <w:p w:rsidR="00EA7FA4" w:rsidRDefault="00EA7FA4" w:rsidP="00EA7FA4">
      <w:pPr>
        <w:tabs>
          <w:tab w:val="left" w:pos="968"/>
        </w:tabs>
        <w:ind w:left="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материалы, полностью заимствованные участниками конкурса из</w:t>
      </w:r>
      <w:r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(Интернет,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CD-диски,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авторами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проверяются.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V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КРИТЕРИИ ОЦЕНКИ КОНКУРСНЫХ МАТЕРИАЛОВ </w:t>
      </w: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Жюри конкурса рассматривает и оценивает материалы, представленные участниками конкурса, согласно критериям, определяет победителя и призеров в каждой из номинаций.  На основании баллов, полученных участниками, формирует рейтинговую таблицу отдельно по каждой номинации. В номинации с количеством   пяти  работ определяется только победитель. Решение жюри закрепляется протоколом. Жюри конкурса осуществляет проверку работ на плагиат. В случае выявления плагиата или других признаков, указывающих  на выполнение работы с нарушением настоящего положения, работы не проверяются.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17. </w:t>
      </w:r>
      <w:r>
        <w:rPr>
          <w:rFonts w:ascii="PT Astra Serif" w:hAnsi="PT Astra Serif"/>
          <w:sz w:val="28"/>
          <w:szCs w:val="28"/>
        </w:rPr>
        <w:t>Критериями оценки материалов, представленных на конкурс, являются: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целеполагание</w:t>
      </w:r>
      <w:proofErr w:type="spellEnd"/>
      <w:r>
        <w:rPr>
          <w:rFonts w:ascii="PT Astra Serif" w:hAnsi="PT Astra Serif"/>
          <w:sz w:val="28"/>
          <w:szCs w:val="28"/>
        </w:rPr>
        <w:t>,  отвечающее теме конкурса;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методическая компетентность (соответствие формы, содержания, методов и  приемов поставленным целям, возрасту обучающихся, включенность обучающихся в активную деятельность);</w:t>
      </w:r>
    </w:p>
    <w:p w:rsidR="00EA7FA4" w:rsidRDefault="00EA7FA4" w:rsidP="00EA7FA4">
      <w:pPr>
        <w:pStyle w:val="TableParagraph"/>
        <w:tabs>
          <w:tab w:val="left" w:pos="3832"/>
          <w:tab w:val="left" w:pos="4670"/>
          <w:tab w:val="left" w:pos="5262"/>
          <w:tab w:val="left" w:pos="5459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- формирование  и развитие функциональной грамотности (разбор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заданий международных исследований, 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информацией,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современном мире,</w:t>
      </w:r>
      <w: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ситуаций,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требующих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занимать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собственную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позицию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зрения, создание ситуаций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дискуссий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proofErr w:type="gramEnd"/>
      <w:r>
        <w:rPr>
          <w:spacing w:val="2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учащихся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аргументы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или контраргументы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обсуждаемым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вопросам, использование подходов, требующих от обучающихся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устанавливать   коммуникацию, высказывать </w:t>
      </w:r>
      <w:r>
        <w:rPr>
          <w:spacing w:val="-1"/>
          <w:sz w:val="28"/>
          <w:szCs w:val="28"/>
        </w:rPr>
        <w:t>хорошо</w:t>
      </w:r>
      <w:r>
        <w:rPr>
          <w:sz w:val="28"/>
          <w:szCs w:val="28"/>
        </w:rPr>
        <w:t xml:space="preserve"> обоснованные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 и др.);</w:t>
      </w:r>
      <w:proofErr w:type="gramEnd"/>
    </w:p>
    <w:p w:rsidR="00EA7FA4" w:rsidRDefault="00EA7FA4" w:rsidP="00EA7FA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вариативность методического инструментария в достижении планируемых результатов;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 наличие связи с практикой, жизнью (сфера применения знаний и способ действия);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воспитательный потенциал;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- </w:t>
      </w:r>
      <w:r>
        <w:rPr>
          <w:rFonts w:ascii="PT Astra Serif" w:hAnsi="PT Astra Serif"/>
          <w:sz w:val="28"/>
          <w:szCs w:val="28"/>
        </w:rPr>
        <w:t>творческая способность педагога;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- показ результативности;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 </w:t>
      </w:r>
      <w:r>
        <w:rPr>
          <w:rFonts w:ascii="PT Astra Serif" w:hAnsi="PT Astra Serif"/>
          <w:sz w:val="28"/>
          <w:szCs w:val="28"/>
        </w:rPr>
        <w:t>культура  оформления материалов.</w:t>
      </w:r>
    </w:p>
    <w:p w:rsidR="00EA7FA4" w:rsidRDefault="00EA7FA4" w:rsidP="00EA7FA4">
      <w:pPr>
        <w:pStyle w:val="aa"/>
        <w:ind w:firstLine="709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VI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ПОДВЕДЕНИЕ ИТОГОВ КОНКУРСА И НАГРАЖДЕНИЕ</w:t>
      </w:r>
    </w:p>
    <w:p w:rsidR="00EA7FA4" w:rsidRDefault="00EA7FA4" w:rsidP="00EA7FA4">
      <w:pPr>
        <w:pStyle w:val="aa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Победители и призеры конкурса награждаются грамотами Департамента социальной политики Администрации города Кургана и денежными призами. </w:t>
      </w: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Победителем считается участник, занявший первое место, призерами считаются участники, занявшие второе и третье места.</w:t>
      </w: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Участники конкурса, не занявшие призовые места, награждаются благодарственными письмами организатора конкурса.</w:t>
      </w: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 По итогам  конкурса издается приказ Департамента социальной политики Администрации города Кургана.</w:t>
      </w: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22. Награждение проводится за счет средств, предусмотренных муниципальной  программой </w:t>
      </w:r>
      <w:r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Основные направления развития образования в городе Кургане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EA7FA4" w:rsidRDefault="00EA7FA4" w:rsidP="00EA7FA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 Информация об итогах конкурса размещается на интернет-сайте МБУ «КГ ИМЦ».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Директору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МБУ «Курганский городской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PT Astra Serif" w:hAnsi="PT Astra Serif"/>
          <w:bCs/>
          <w:sz w:val="28"/>
          <w:szCs w:val="28"/>
        </w:rPr>
        <w:t>инновационно-методический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центр»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Литвиновой Е.Э.</w:t>
      </w:r>
    </w:p>
    <w:p w:rsidR="00EA7FA4" w:rsidRDefault="00EA7FA4" w:rsidP="00EA7FA4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bCs/>
          <w:sz w:val="28"/>
          <w:szCs w:val="28"/>
        </w:rPr>
      </w:pPr>
    </w:p>
    <w:p w:rsidR="00EA7FA4" w:rsidRDefault="00EA7FA4" w:rsidP="00EA7FA4">
      <w:pPr>
        <w:pStyle w:val="aa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Заявка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 участие в городском конкурсе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профессионального мастерства педагогов  «Мой лучший урок: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профориентационный</w:t>
      </w:r>
      <w:proofErr w:type="spellEnd"/>
      <w:r>
        <w:rPr>
          <w:rFonts w:ascii="PT Astra Serif" w:hAnsi="PT Astra Serif"/>
          <w:sz w:val="28"/>
          <w:szCs w:val="28"/>
        </w:rPr>
        <w:t xml:space="preserve"> урок »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(наименование образовательного учреждения)</w:t>
      </w:r>
    </w:p>
    <w:p w:rsidR="00EA7FA4" w:rsidRDefault="00EA7FA4" w:rsidP="00EA7FA4">
      <w:pPr>
        <w:pStyle w:val="aa"/>
        <w:jc w:val="center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представляет  победителя  институционального этапа конкурса 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A7FA4" w:rsidRDefault="00EA7FA4" w:rsidP="00EA7FA4">
      <w:pPr>
        <w:pStyle w:val="aa"/>
        <w:rPr>
          <w:rFonts w:ascii="Times New Roman" w:hAnsi="Times New Roman"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( </w:t>
      </w:r>
      <w:proofErr w:type="spellStart"/>
      <w:r>
        <w:rPr>
          <w:rFonts w:ascii="PT Astra Serif" w:hAnsi="PT Astra Serif"/>
          <w:sz w:val="28"/>
          <w:szCs w:val="28"/>
        </w:rPr>
        <w:t>Ф.И.О.полностью</w:t>
      </w:r>
      <w:proofErr w:type="spellEnd"/>
      <w:r>
        <w:rPr>
          <w:rFonts w:ascii="PT Astra Serif" w:hAnsi="PT Astra Serif"/>
          <w:sz w:val="28"/>
          <w:szCs w:val="28"/>
        </w:rPr>
        <w:t>, должность, контактный телефон)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образовательного учреждения                                                            (Ф.И.О.)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М.П.   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Дата</w:t>
      </w:r>
    </w:p>
    <w:p w:rsidR="00EA7FA4" w:rsidRDefault="00EA7FA4" w:rsidP="00EA7FA4">
      <w:pPr>
        <w:pStyle w:val="aa"/>
        <w:rPr>
          <w:rFonts w:ascii="PT Astra Serif" w:hAnsi="PT Astra Serif"/>
          <w:sz w:val="28"/>
          <w:szCs w:val="28"/>
        </w:rPr>
      </w:pP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A4"/>
    <w:rsid w:val="00070F0A"/>
    <w:rsid w:val="00097709"/>
    <w:rsid w:val="00561DDA"/>
    <w:rsid w:val="0059618B"/>
    <w:rsid w:val="0067261D"/>
    <w:rsid w:val="00686D06"/>
    <w:rsid w:val="008601BC"/>
    <w:rsid w:val="00B912B8"/>
    <w:rsid w:val="00BF08B2"/>
    <w:rsid w:val="00D51979"/>
    <w:rsid w:val="00DA005C"/>
    <w:rsid w:val="00DE48AC"/>
    <w:rsid w:val="00EA7FA4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color w:val="000000"/>
      <w:sz w:val="24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Bookman Old Style" w:eastAsia="Times New Roman" w:hAnsi="Bookman Old Style" w:cs="Times New Roman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pPr>
      <w:spacing w:after="0" w:line="240" w:lineRule="auto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070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EA7FA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A7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EA7FA4"/>
  </w:style>
  <w:style w:type="table" w:customStyle="1" w:styleId="TableNormal">
    <w:name w:val="Table Normal"/>
    <w:uiPriority w:val="2"/>
    <w:semiHidden/>
    <w:qFormat/>
    <w:rsid w:val="00EA7F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2021-09-14T09:23:00Z</dcterms:created>
  <dcterms:modified xsi:type="dcterms:W3CDTF">2021-09-15T03:47:00Z</dcterms:modified>
</cp:coreProperties>
</file>